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2017级优秀实习生名单</w:t>
      </w:r>
      <w:bookmarkStart w:id="0" w:name="_GoBack"/>
      <w:bookmarkEnd w:id="0"/>
    </w:p>
    <w:tbl>
      <w:tblPr>
        <w:tblStyle w:val="3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69"/>
        <w:gridCol w:w="1420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实习单位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赵建涛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张献木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付占梅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熊新蕊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杨润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周思颖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铜仁市碧江区中医医院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王芳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铜仁市碧江区中医医院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张婷婷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铜仁市碧江区中医医院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林井成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松桃县人民医院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杨玉松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松桃县人民医院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朱宗熙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松桃县人民医院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杨秀花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凯里市第一人民医院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杨再玲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凯里市第一人民医院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陈光银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铜仁市万山区人民医院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廖佳敏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印江县人民医院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梁双芹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思南县人民医院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杨加玲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沿河县人民医院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何立芬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石阡县人民医院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冉彩芳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德江县人民医院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健康管理系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陈虹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安顺市人民医院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健康管理系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马明桃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平塘县妇幼保健院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药学系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甘春梅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雷允上药业集团有限公司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药学系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刘娴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广州雷允上药业有限公司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药学系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赵丹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雷允上药业集团有限公司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药学系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杨学桃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vertAlign w:val="baseline"/>
                <w:lang w:val="en-US" w:eastAsia="zh-CN"/>
              </w:rPr>
              <w:t>雷允上药业集团有限公司</w:t>
            </w:r>
          </w:p>
        </w:tc>
      </w:tr>
    </w:tbl>
    <w:p>
      <w:pPr>
        <w:wordWrap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66F7"/>
    <w:rsid w:val="5A0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2020-06-23T01:07:00Z</dcterms:created>
  <dc:creator>纳可可</dc:creator>
  <cp:lastModifiedBy>纳可可</cp:lastModifiedBy>
  <dcterms:modified xsi:type="dcterms:W3CDTF">2020-06-23T01:09:14Z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